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план мероприятий («дорожную карту») по оценке применения содержащихся в нормативных правовых актах Еврейской автономной области, принятых до вступления в силу закона Еврейской автономной области от 19.04.2021 № 724-ОЗ «О порядке установления</w:t>
      </w:r>
      <w:r>
        <w:rPr>
          <w:rFonts w:ascii="Times New Roman" w:hAnsi="Times New Roman"/>
          <w:sz w:val="28"/>
          <w:szCs w:val="28"/>
        </w:rPr>
        <w:t xml:space="preserve"> и оценки применения обязательных требований, устанавливаемых нормативными правовыми актами Еврейской автономной области», обязательных требований, соблюдение которых оценивается </w:t>
        <w:br/>
        <w:t xml:space="preserve">при осуществлении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Еврейской автономной области </w:t>
        <w:br/>
        <w:t xml:space="preserve">от 23.12.2022 № 543-рп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contextualSpacing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план мероприятий («дорожную карту») по оценке применения содержащихся в нормативных правовых актах Еврейской автономной области, принятых до вступления в силу закона Еврейской автономной области от 19.04.2021 № 724-ОЗ «О порядке установления</w:t>
      </w:r>
      <w:r>
        <w:rPr>
          <w:rFonts w:ascii="Times New Roman" w:hAnsi="Times New Roman"/>
          <w:sz w:val="28"/>
          <w:szCs w:val="28"/>
        </w:rPr>
        <w:t xml:space="preserve"> и оценки применения обязательных требований, устанавливаемых нормативными правовыми актами Еврейской автономной области», обязательных требований, соблюдение которых оценивается при осуществлении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Еврейской автономной области </w:t>
        <w:br/>
        <w:t xml:space="preserve">от 23.12.2022 № 543-рп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плана мероприятий («дорожной карты») по оценке применения содержащихся в нормативных правовых актах Еврейской автономной области, принятых до вступления в силу закона Еврейской автономной области от 19.04.2021 № 724-ОЗ «О порядке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оценки применения обязательных требований, устанавливаемых нормативными правовыми актами Еврейской автономной области», обязательных требований, соблюдение которых оценивается при осуществлении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изменение, изложив его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8"/>
        <w:ind w:left="5102" w:right="0" w:firstLine="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</w:t>
      </w:r>
      <w:r/>
    </w:p>
    <w:p>
      <w:pPr>
        <w:pStyle w:val="848"/>
        <w:ind w:left="5102" w:right="0" w:firstLine="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распоряжением правительства</w:t>
      </w:r>
      <w:r/>
    </w:p>
    <w:p>
      <w:pPr>
        <w:pStyle w:val="848"/>
        <w:ind w:left="5102" w:right="0" w:firstLine="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/>
    </w:p>
    <w:p>
      <w:pPr>
        <w:pStyle w:val="848"/>
        <w:ind w:left="5102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23.12.2022 № 543-рп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оценке применения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содержащихся в нормативных правовых актах Еврейской автономной области, принятых до вступления в силу закона Еврейской автономной области от 19.04.2021 № 724-ОЗ «О порядке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оценки применения обязательных требований, устанавливаемых нормативными правовыми актами Еврейской автономной области», обязательных требований, соблюдение которых оценивается при осуществлении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2339"/>
        <w:gridCol w:w="2339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нормативного правового акта, содержащего обязательные требования, соблюдение которых оценивается при осуществлении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орган исполнительной власти Еврейской автономной области, формируемый правительством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Срок оценки нормативного правового акта, содержащего обязательные требования, соблюдение которых оценивается при осуществлении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Закон Еврейской автономной области от 28.06.2013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Государственная жилищная инспекция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 31.03.2024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45"/>
              <w:contextualSpacing w:val="0"/>
              <w:jc w:val="both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от 04.02.2014 № 27-пп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 утверждении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 Жилищного кодекса Российской Федерации, перечня иных свед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ений, подлежащих предоставлению указанными лицами, и порядка предоставления таких сведений»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Государственная жилищная инспекция Еврейской автономной области</w:t>
            </w:r>
            <w:r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 31.03.2024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842"/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Р.Э. Гольдштейн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color w:val="auto"/>
      <w:spacing w:val="0"/>
      <w:position w:val="0"/>
      <w:sz w:val="22"/>
      <w:szCs w:val="20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2023-10-03T02:19:13Z</dcterms:modified>
</cp:coreProperties>
</file>